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6BB" w:rsidRPr="00B53A35" w:rsidRDefault="009243B6" w:rsidP="009243B6">
      <w:pPr>
        <w:spacing w:line="560" w:lineRule="exact"/>
        <w:jc w:val="center"/>
        <w:rPr>
          <w:rFonts w:ascii="方正小标宋简体" w:eastAsia="方正小标宋简体"/>
          <w:sz w:val="44"/>
          <w:szCs w:val="44"/>
        </w:rPr>
      </w:pPr>
      <w:r w:rsidRPr="00B53A35">
        <w:rPr>
          <w:rFonts w:ascii="方正小标宋简体" w:eastAsia="方正小标宋简体" w:hint="eastAsia"/>
          <w:sz w:val="44"/>
          <w:szCs w:val="44"/>
        </w:rPr>
        <w:t>教育系统危险化学品安全风险汇总表</w:t>
      </w:r>
      <w:bookmarkStart w:id="0" w:name="_GoBack"/>
      <w:bookmarkEnd w:id="0"/>
    </w:p>
    <w:p w:rsidR="009243B6" w:rsidRPr="006A41D9" w:rsidRDefault="009243B6" w:rsidP="009243B6">
      <w:pPr>
        <w:spacing w:line="560" w:lineRule="exact"/>
        <w:rPr>
          <w:rFonts w:asciiTheme="minorEastAsia" w:hAnsiTheme="minorEastAsia"/>
          <w:color w:val="FF0000"/>
          <w:sz w:val="28"/>
          <w:szCs w:val="28"/>
        </w:rPr>
      </w:pPr>
      <w:r w:rsidRPr="009243B6">
        <w:rPr>
          <w:rFonts w:asciiTheme="minorEastAsia" w:hAnsiTheme="minorEastAsia" w:hint="eastAsia"/>
          <w:sz w:val="28"/>
          <w:szCs w:val="28"/>
        </w:rPr>
        <w:t>填报单位</w:t>
      </w:r>
      <w:r>
        <w:rPr>
          <w:rFonts w:asciiTheme="minorEastAsia" w:hAnsiTheme="minorEastAsia" w:hint="eastAsia"/>
          <w:sz w:val="28"/>
          <w:szCs w:val="28"/>
        </w:rPr>
        <w:t>：</w:t>
      </w:r>
      <w:r w:rsidR="00596ED7" w:rsidRPr="006A41D9">
        <w:rPr>
          <w:rFonts w:asciiTheme="minorEastAsia" w:hAnsiTheme="minorEastAsia"/>
          <w:color w:val="FF0000"/>
          <w:sz w:val="28"/>
          <w:szCs w:val="28"/>
        </w:rPr>
        <w:t xml:space="preserve"> </w:t>
      </w:r>
    </w:p>
    <w:tbl>
      <w:tblPr>
        <w:tblStyle w:val="a3"/>
        <w:tblW w:w="0" w:type="auto"/>
        <w:tblLook w:val="04A0" w:firstRow="1" w:lastRow="0" w:firstColumn="1" w:lastColumn="0" w:noHBand="0" w:noVBand="1"/>
      </w:tblPr>
      <w:tblGrid>
        <w:gridCol w:w="817"/>
        <w:gridCol w:w="2126"/>
        <w:gridCol w:w="3119"/>
        <w:gridCol w:w="2268"/>
        <w:gridCol w:w="3118"/>
        <w:gridCol w:w="1134"/>
        <w:gridCol w:w="1592"/>
      </w:tblGrid>
      <w:tr w:rsidR="009243B6" w:rsidTr="009243B6">
        <w:tc>
          <w:tcPr>
            <w:tcW w:w="817" w:type="dxa"/>
            <w:vAlign w:val="center"/>
          </w:tcPr>
          <w:p w:rsidR="009243B6" w:rsidRPr="009243B6" w:rsidRDefault="009243B6" w:rsidP="009243B6">
            <w:pPr>
              <w:spacing w:line="400" w:lineRule="exact"/>
              <w:jc w:val="center"/>
              <w:rPr>
                <w:sz w:val="24"/>
                <w:szCs w:val="24"/>
              </w:rPr>
            </w:pPr>
            <w:r w:rsidRPr="009243B6">
              <w:rPr>
                <w:rFonts w:hint="eastAsia"/>
                <w:sz w:val="24"/>
                <w:szCs w:val="24"/>
              </w:rPr>
              <w:t>序号</w:t>
            </w:r>
          </w:p>
        </w:tc>
        <w:tc>
          <w:tcPr>
            <w:tcW w:w="2126" w:type="dxa"/>
            <w:vAlign w:val="center"/>
          </w:tcPr>
          <w:p w:rsidR="009243B6" w:rsidRPr="009243B6" w:rsidRDefault="009243B6" w:rsidP="009243B6">
            <w:pPr>
              <w:spacing w:line="400" w:lineRule="exact"/>
              <w:jc w:val="center"/>
              <w:rPr>
                <w:sz w:val="24"/>
                <w:szCs w:val="24"/>
              </w:rPr>
            </w:pPr>
            <w:r w:rsidRPr="009243B6">
              <w:rPr>
                <w:rFonts w:hint="eastAsia"/>
                <w:sz w:val="24"/>
                <w:szCs w:val="24"/>
              </w:rPr>
              <w:t>危险化学品安全风险单位</w:t>
            </w:r>
          </w:p>
        </w:tc>
        <w:tc>
          <w:tcPr>
            <w:tcW w:w="3119" w:type="dxa"/>
            <w:vAlign w:val="center"/>
          </w:tcPr>
          <w:p w:rsidR="009243B6" w:rsidRPr="009243B6" w:rsidRDefault="009243B6" w:rsidP="009243B6">
            <w:pPr>
              <w:spacing w:line="400" w:lineRule="exact"/>
              <w:jc w:val="center"/>
              <w:rPr>
                <w:sz w:val="24"/>
                <w:szCs w:val="24"/>
              </w:rPr>
            </w:pPr>
            <w:r w:rsidRPr="009243B6">
              <w:rPr>
                <w:rFonts w:hint="eastAsia"/>
                <w:sz w:val="24"/>
                <w:szCs w:val="24"/>
              </w:rPr>
              <w:t>危险化学品存储地址</w:t>
            </w:r>
          </w:p>
        </w:tc>
        <w:tc>
          <w:tcPr>
            <w:tcW w:w="2268" w:type="dxa"/>
            <w:vAlign w:val="center"/>
          </w:tcPr>
          <w:p w:rsidR="009243B6" w:rsidRPr="009243B6" w:rsidRDefault="009243B6" w:rsidP="009243B6">
            <w:pPr>
              <w:spacing w:line="400" w:lineRule="exact"/>
              <w:jc w:val="center"/>
              <w:rPr>
                <w:sz w:val="24"/>
                <w:szCs w:val="24"/>
              </w:rPr>
            </w:pPr>
            <w:r w:rsidRPr="009243B6">
              <w:rPr>
                <w:rFonts w:hint="eastAsia"/>
                <w:sz w:val="24"/>
                <w:szCs w:val="24"/>
              </w:rPr>
              <w:t>危险化学品存储种类及最大存储量</w:t>
            </w:r>
          </w:p>
        </w:tc>
        <w:tc>
          <w:tcPr>
            <w:tcW w:w="3118" w:type="dxa"/>
            <w:vAlign w:val="center"/>
          </w:tcPr>
          <w:p w:rsidR="009243B6" w:rsidRPr="009243B6" w:rsidRDefault="009243B6" w:rsidP="009243B6">
            <w:pPr>
              <w:spacing w:line="400" w:lineRule="exact"/>
              <w:jc w:val="center"/>
              <w:rPr>
                <w:sz w:val="24"/>
                <w:szCs w:val="24"/>
              </w:rPr>
            </w:pPr>
            <w:r w:rsidRPr="009243B6">
              <w:rPr>
                <w:rFonts w:hint="eastAsia"/>
                <w:sz w:val="24"/>
                <w:szCs w:val="24"/>
              </w:rPr>
              <w:t>是否构成危险化学品重大危险源及重大危险源级别</w:t>
            </w:r>
          </w:p>
        </w:tc>
        <w:tc>
          <w:tcPr>
            <w:tcW w:w="1134" w:type="dxa"/>
            <w:vAlign w:val="center"/>
          </w:tcPr>
          <w:p w:rsidR="009243B6" w:rsidRPr="009243B6" w:rsidRDefault="009243B6" w:rsidP="009243B6">
            <w:pPr>
              <w:spacing w:line="400" w:lineRule="exact"/>
              <w:jc w:val="center"/>
              <w:rPr>
                <w:sz w:val="24"/>
                <w:szCs w:val="24"/>
              </w:rPr>
            </w:pPr>
            <w:r w:rsidRPr="009243B6">
              <w:rPr>
                <w:rFonts w:hint="eastAsia"/>
                <w:sz w:val="24"/>
                <w:szCs w:val="24"/>
              </w:rPr>
              <w:t>用途</w:t>
            </w:r>
          </w:p>
        </w:tc>
        <w:tc>
          <w:tcPr>
            <w:tcW w:w="1592" w:type="dxa"/>
            <w:vAlign w:val="center"/>
          </w:tcPr>
          <w:p w:rsidR="009243B6" w:rsidRPr="009243B6" w:rsidRDefault="009243B6" w:rsidP="009243B6">
            <w:pPr>
              <w:spacing w:line="400" w:lineRule="exact"/>
              <w:jc w:val="center"/>
              <w:rPr>
                <w:sz w:val="24"/>
                <w:szCs w:val="24"/>
              </w:rPr>
            </w:pPr>
            <w:r w:rsidRPr="009243B6">
              <w:rPr>
                <w:rFonts w:hint="eastAsia"/>
                <w:sz w:val="24"/>
                <w:szCs w:val="24"/>
              </w:rPr>
              <w:t>备注</w:t>
            </w:r>
          </w:p>
        </w:tc>
      </w:tr>
      <w:tr w:rsidR="009243B6" w:rsidTr="009243B6">
        <w:trPr>
          <w:trHeight w:val="744"/>
        </w:trPr>
        <w:tc>
          <w:tcPr>
            <w:tcW w:w="817" w:type="dxa"/>
            <w:vAlign w:val="center"/>
          </w:tcPr>
          <w:p w:rsidR="009243B6" w:rsidRPr="009243B6" w:rsidRDefault="008D503C" w:rsidP="009243B6">
            <w:pPr>
              <w:spacing w:line="400" w:lineRule="exact"/>
              <w:jc w:val="center"/>
              <w:rPr>
                <w:sz w:val="24"/>
                <w:szCs w:val="24"/>
              </w:rPr>
            </w:pPr>
            <w:r>
              <w:rPr>
                <w:rFonts w:hint="eastAsia"/>
                <w:sz w:val="24"/>
                <w:szCs w:val="24"/>
              </w:rPr>
              <w:t>1</w:t>
            </w:r>
          </w:p>
        </w:tc>
        <w:tc>
          <w:tcPr>
            <w:tcW w:w="2126" w:type="dxa"/>
            <w:vAlign w:val="center"/>
          </w:tcPr>
          <w:p w:rsidR="009243B6" w:rsidRPr="00112D45" w:rsidRDefault="009243B6" w:rsidP="009243B6">
            <w:pPr>
              <w:spacing w:line="400" w:lineRule="exact"/>
              <w:jc w:val="center"/>
              <w:rPr>
                <w:color w:val="FF0000"/>
                <w:sz w:val="24"/>
                <w:szCs w:val="24"/>
              </w:rPr>
            </w:pPr>
          </w:p>
        </w:tc>
        <w:tc>
          <w:tcPr>
            <w:tcW w:w="3119" w:type="dxa"/>
            <w:vAlign w:val="center"/>
          </w:tcPr>
          <w:p w:rsidR="009243B6" w:rsidRPr="00112D45" w:rsidRDefault="009243B6" w:rsidP="009243B6">
            <w:pPr>
              <w:spacing w:line="400" w:lineRule="exact"/>
              <w:jc w:val="center"/>
              <w:rPr>
                <w:color w:val="FF0000"/>
                <w:sz w:val="24"/>
                <w:szCs w:val="24"/>
              </w:rPr>
            </w:pPr>
          </w:p>
        </w:tc>
        <w:tc>
          <w:tcPr>
            <w:tcW w:w="2268" w:type="dxa"/>
            <w:vAlign w:val="center"/>
          </w:tcPr>
          <w:p w:rsidR="009243B6" w:rsidRPr="00112D45" w:rsidRDefault="009243B6" w:rsidP="009243B6">
            <w:pPr>
              <w:spacing w:line="400" w:lineRule="exact"/>
              <w:jc w:val="center"/>
              <w:rPr>
                <w:color w:val="FF0000"/>
                <w:sz w:val="24"/>
                <w:szCs w:val="24"/>
              </w:rPr>
            </w:pPr>
          </w:p>
        </w:tc>
        <w:tc>
          <w:tcPr>
            <w:tcW w:w="3118" w:type="dxa"/>
            <w:vAlign w:val="center"/>
          </w:tcPr>
          <w:p w:rsidR="009243B6" w:rsidRPr="00112D45" w:rsidRDefault="009243B6" w:rsidP="009243B6">
            <w:pPr>
              <w:spacing w:line="400" w:lineRule="exact"/>
              <w:jc w:val="center"/>
              <w:rPr>
                <w:color w:val="FF0000"/>
                <w:sz w:val="24"/>
                <w:szCs w:val="24"/>
              </w:rPr>
            </w:pPr>
          </w:p>
        </w:tc>
        <w:tc>
          <w:tcPr>
            <w:tcW w:w="1134" w:type="dxa"/>
            <w:vAlign w:val="center"/>
          </w:tcPr>
          <w:p w:rsidR="009243B6" w:rsidRPr="00112D45" w:rsidRDefault="009243B6" w:rsidP="009243B6">
            <w:pPr>
              <w:spacing w:line="400" w:lineRule="exact"/>
              <w:jc w:val="center"/>
              <w:rPr>
                <w:color w:val="FF0000"/>
                <w:sz w:val="24"/>
                <w:szCs w:val="24"/>
              </w:rPr>
            </w:pPr>
          </w:p>
        </w:tc>
        <w:tc>
          <w:tcPr>
            <w:tcW w:w="1592" w:type="dxa"/>
            <w:vAlign w:val="center"/>
          </w:tcPr>
          <w:p w:rsidR="009243B6" w:rsidRPr="00112D45" w:rsidRDefault="009243B6" w:rsidP="00112D45">
            <w:pPr>
              <w:spacing w:line="400" w:lineRule="exact"/>
              <w:jc w:val="center"/>
              <w:rPr>
                <w:color w:val="FF0000"/>
                <w:sz w:val="24"/>
                <w:szCs w:val="24"/>
              </w:rPr>
            </w:pPr>
          </w:p>
        </w:tc>
      </w:tr>
      <w:tr w:rsidR="00112D45" w:rsidTr="009243B6">
        <w:trPr>
          <w:trHeight w:val="744"/>
        </w:trPr>
        <w:tc>
          <w:tcPr>
            <w:tcW w:w="817" w:type="dxa"/>
            <w:vAlign w:val="center"/>
          </w:tcPr>
          <w:p w:rsidR="00112D45" w:rsidRPr="009243B6" w:rsidRDefault="00112D45" w:rsidP="00112D45">
            <w:pPr>
              <w:spacing w:line="400" w:lineRule="exact"/>
              <w:jc w:val="center"/>
              <w:rPr>
                <w:sz w:val="24"/>
                <w:szCs w:val="24"/>
              </w:rPr>
            </w:pPr>
            <w:r>
              <w:rPr>
                <w:rFonts w:hint="eastAsia"/>
                <w:sz w:val="24"/>
                <w:szCs w:val="24"/>
              </w:rPr>
              <w:t>2</w:t>
            </w:r>
          </w:p>
        </w:tc>
        <w:tc>
          <w:tcPr>
            <w:tcW w:w="2126" w:type="dxa"/>
            <w:vAlign w:val="center"/>
          </w:tcPr>
          <w:p w:rsidR="00112D45" w:rsidRPr="00112D45" w:rsidRDefault="00112D45" w:rsidP="00112D45">
            <w:pPr>
              <w:spacing w:line="400" w:lineRule="exact"/>
              <w:jc w:val="center"/>
              <w:rPr>
                <w:color w:val="FF0000"/>
                <w:sz w:val="24"/>
                <w:szCs w:val="24"/>
              </w:rPr>
            </w:pPr>
          </w:p>
        </w:tc>
        <w:tc>
          <w:tcPr>
            <w:tcW w:w="3119" w:type="dxa"/>
            <w:vAlign w:val="center"/>
          </w:tcPr>
          <w:p w:rsidR="00112D45" w:rsidRPr="00112D45" w:rsidRDefault="00112D45" w:rsidP="00112D45">
            <w:pPr>
              <w:spacing w:line="400" w:lineRule="exact"/>
              <w:jc w:val="center"/>
              <w:rPr>
                <w:color w:val="FF0000"/>
                <w:sz w:val="24"/>
                <w:szCs w:val="24"/>
              </w:rPr>
            </w:pPr>
          </w:p>
        </w:tc>
        <w:tc>
          <w:tcPr>
            <w:tcW w:w="2268" w:type="dxa"/>
            <w:vAlign w:val="center"/>
          </w:tcPr>
          <w:p w:rsidR="00112D45" w:rsidRPr="00112D45" w:rsidRDefault="00112D45" w:rsidP="00112D45">
            <w:pPr>
              <w:spacing w:line="400" w:lineRule="exact"/>
              <w:jc w:val="center"/>
              <w:rPr>
                <w:color w:val="FF0000"/>
                <w:sz w:val="24"/>
                <w:szCs w:val="24"/>
              </w:rPr>
            </w:pPr>
          </w:p>
        </w:tc>
        <w:tc>
          <w:tcPr>
            <w:tcW w:w="3118" w:type="dxa"/>
            <w:vAlign w:val="center"/>
          </w:tcPr>
          <w:p w:rsidR="00112D45" w:rsidRPr="00112D45" w:rsidRDefault="00112D45" w:rsidP="00112D45">
            <w:pPr>
              <w:spacing w:line="400" w:lineRule="exact"/>
              <w:jc w:val="center"/>
              <w:rPr>
                <w:color w:val="FF0000"/>
                <w:sz w:val="24"/>
                <w:szCs w:val="24"/>
              </w:rPr>
            </w:pPr>
          </w:p>
        </w:tc>
        <w:tc>
          <w:tcPr>
            <w:tcW w:w="1134" w:type="dxa"/>
            <w:vAlign w:val="center"/>
          </w:tcPr>
          <w:p w:rsidR="00112D45" w:rsidRPr="00112D45" w:rsidRDefault="00112D45" w:rsidP="00112D45">
            <w:pPr>
              <w:spacing w:line="400" w:lineRule="exact"/>
              <w:jc w:val="center"/>
              <w:rPr>
                <w:color w:val="FF0000"/>
                <w:sz w:val="24"/>
                <w:szCs w:val="24"/>
              </w:rPr>
            </w:pPr>
          </w:p>
        </w:tc>
        <w:tc>
          <w:tcPr>
            <w:tcW w:w="1592" w:type="dxa"/>
            <w:vAlign w:val="center"/>
          </w:tcPr>
          <w:p w:rsidR="00112D45" w:rsidRPr="00112D45" w:rsidRDefault="00112D45" w:rsidP="00112D45">
            <w:pPr>
              <w:spacing w:line="400" w:lineRule="exact"/>
              <w:jc w:val="center"/>
              <w:rPr>
                <w:color w:val="FF0000"/>
                <w:sz w:val="24"/>
                <w:szCs w:val="24"/>
              </w:rPr>
            </w:pPr>
          </w:p>
        </w:tc>
      </w:tr>
      <w:tr w:rsidR="00112D45" w:rsidTr="009243B6">
        <w:trPr>
          <w:trHeight w:val="744"/>
        </w:trPr>
        <w:tc>
          <w:tcPr>
            <w:tcW w:w="817" w:type="dxa"/>
            <w:vAlign w:val="center"/>
          </w:tcPr>
          <w:p w:rsidR="00112D45" w:rsidRPr="009243B6" w:rsidRDefault="00112D45" w:rsidP="00112D45">
            <w:pPr>
              <w:spacing w:line="400" w:lineRule="exact"/>
              <w:jc w:val="center"/>
              <w:rPr>
                <w:sz w:val="24"/>
                <w:szCs w:val="24"/>
              </w:rPr>
            </w:pPr>
            <w:r>
              <w:rPr>
                <w:rFonts w:hint="eastAsia"/>
                <w:sz w:val="24"/>
                <w:szCs w:val="24"/>
              </w:rPr>
              <w:t>…</w:t>
            </w:r>
          </w:p>
        </w:tc>
        <w:tc>
          <w:tcPr>
            <w:tcW w:w="2126" w:type="dxa"/>
            <w:vAlign w:val="center"/>
          </w:tcPr>
          <w:p w:rsidR="00112D45" w:rsidRPr="00112D45" w:rsidRDefault="00112D45" w:rsidP="00112D45">
            <w:pPr>
              <w:spacing w:line="400" w:lineRule="exact"/>
              <w:jc w:val="center"/>
              <w:rPr>
                <w:color w:val="FF0000"/>
                <w:sz w:val="24"/>
                <w:szCs w:val="24"/>
              </w:rPr>
            </w:pPr>
          </w:p>
        </w:tc>
        <w:tc>
          <w:tcPr>
            <w:tcW w:w="3119" w:type="dxa"/>
            <w:vAlign w:val="center"/>
          </w:tcPr>
          <w:p w:rsidR="00112D45" w:rsidRPr="00112D45" w:rsidRDefault="00112D45" w:rsidP="00112D45">
            <w:pPr>
              <w:spacing w:line="400" w:lineRule="exact"/>
              <w:jc w:val="center"/>
              <w:rPr>
                <w:color w:val="FF0000"/>
                <w:sz w:val="24"/>
                <w:szCs w:val="24"/>
              </w:rPr>
            </w:pPr>
          </w:p>
        </w:tc>
        <w:tc>
          <w:tcPr>
            <w:tcW w:w="2268" w:type="dxa"/>
            <w:vAlign w:val="center"/>
          </w:tcPr>
          <w:p w:rsidR="00112D45" w:rsidRPr="00112D45" w:rsidRDefault="00112D45" w:rsidP="00112D45">
            <w:pPr>
              <w:spacing w:line="400" w:lineRule="exact"/>
              <w:jc w:val="center"/>
              <w:rPr>
                <w:color w:val="FF0000"/>
                <w:sz w:val="24"/>
                <w:szCs w:val="24"/>
              </w:rPr>
            </w:pPr>
          </w:p>
        </w:tc>
        <w:tc>
          <w:tcPr>
            <w:tcW w:w="3118" w:type="dxa"/>
            <w:vAlign w:val="center"/>
          </w:tcPr>
          <w:p w:rsidR="00112D45" w:rsidRPr="00112D45" w:rsidRDefault="00112D45" w:rsidP="00112D45">
            <w:pPr>
              <w:spacing w:line="400" w:lineRule="exact"/>
              <w:jc w:val="center"/>
              <w:rPr>
                <w:color w:val="FF0000"/>
                <w:sz w:val="24"/>
                <w:szCs w:val="24"/>
              </w:rPr>
            </w:pPr>
          </w:p>
        </w:tc>
        <w:tc>
          <w:tcPr>
            <w:tcW w:w="1134" w:type="dxa"/>
            <w:vAlign w:val="center"/>
          </w:tcPr>
          <w:p w:rsidR="00112D45" w:rsidRPr="00112D45" w:rsidRDefault="00112D45" w:rsidP="00112D45">
            <w:pPr>
              <w:spacing w:line="400" w:lineRule="exact"/>
              <w:jc w:val="center"/>
              <w:rPr>
                <w:color w:val="FF0000"/>
                <w:sz w:val="24"/>
                <w:szCs w:val="24"/>
              </w:rPr>
            </w:pPr>
          </w:p>
        </w:tc>
        <w:tc>
          <w:tcPr>
            <w:tcW w:w="1592" w:type="dxa"/>
            <w:vAlign w:val="center"/>
          </w:tcPr>
          <w:p w:rsidR="00112D45" w:rsidRPr="00112D45" w:rsidRDefault="00112D45" w:rsidP="00112D45">
            <w:pPr>
              <w:spacing w:line="400" w:lineRule="exact"/>
              <w:jc w:val="center"/>
              <w:rPr>
                <w:color w:val="FF0000"/>
                <w:sz w:val="24"/>
                <w:szCs w:val="24"/>
              </w:rPr>
            </w:pPr>
          </w:p>
        </w:tc>
      </w:tr>
    </w:tbl>
    <w:p w:rsidR="009243B6" w:rsidRPr="009243B6" w:rsidRDefault="009243B6" w:rsidP="009243B6">
      <w:pPr>
        <w:spacing w:line="560" w:lineRule="exact"/>
        <w:rPr>
          <w:sz w:val="24"/>
          <w:szCs w:val="24"/>
        </w:rPr>
      </w:pPr>
      <w:r w:rsidRPr="009243B6">
        <w:rPr>
          <w:rFonts w:hint="eastAsia"/>
          <w:sz w:val="24"/>
          <w:szCs w:val="24"/>
        </w:rPr>
        <w:t>填报人：</w:t>
      </w:r>
      <w:r w:rsidRPr="009243B6">
        <w:rPr>
          <w:rFonts w:hint="eastAsia"/>
          <w:sz w:val="24"/>
          <w:szCs w:val="24"/>
        </w:rPr>
        <w:t xml:space="preserve">       </w:t>
      </w:r>
      <w:r w:rsidR="00112D45">
        <w:rPr>
          <w:rFonts w:hint="eastAsia"/>
          <w:sz w:val="24"/>
          <w:szCs w:val="24"/>
        </w:rPr>
        <w:t xml:space="preserve">                              </w:t>
      </w:r>
      <w:r w:rsidRPr="009243B6">
        <w:rPr>
          <w:rFonts w:hint="eastAsia"/>
          <w:sz w:val="24"/>
          <w:szCs w:val="24"/>
        </w:rPr>
        <w:t>联系电话：</w:t>
      </w:r>
    </w:p>
    <w:p w:rsidR="009243B6" w:rsidRDefault="009243B6" w:rsidP="009243B6">
      <w:pPr>
        <w:spacing w:line="560" w:lineRule="exact"/>
      </w:pPr>
      <w:r>
        <w:rPr>
          <w:rFonts w:hint="eastAsia"/>
        </w:rPr>
        <w:t>填报说明：</w:t>
      </w:r>
    </w:p>
    <w:p w:rsidR="009243B6" w:rsidRDefault="009243B6" w:rsidP="009243B6">
      <w:pPr>
        <w:spacing w:line="300" w:lineRule="exact"/>
      </w:pPr>
      <w:r>
        <w:rPr>
          <w:rFonts w:hint="eastAsia"/>
        </w:rPr>
        <w:t>1.</w:t>
      </w:r>
      <w:r>
        <w:rPr>
          <w:rFonts w:hint="eastAsia"/>
        </w:rPr>
        <w:t>高等学校、省属中职、厅属普通高中直报教育厅，市（州）教育局、贵安新区社管局、省直管试点县教育局汇总属地情况后报教育厅；</w:t>
      </w:r>
    </w:p>
    <w:p w:rsidR="009243B6" w:rsidRDefault="009243B6" w:rsidP="009243B6">
      <w:pPr>
        <w:spacing w:line="300" w:lineRule="exact"/>
      </w:pPr>
      <w:r>
        <w:rPr>
          <w:rFonts w:hint="eastAsia"/>
        </w:rPr>
        <w:t>2.</w:t>
      </w:r>
      <w:r>
        <w:rPr>
          <w:rFonts w:hint="eastAsia"/>
        </w:rPr>
        <w:t>教育系统使用的危险化学品，主要包括学校实验室使用的“金属钠、氢气、硫酸、盐酸、硝酸、氢氧化钠、氢氧化钾等试剂”等易燃易爆、剧毒、强腐蚀类化学药品</w:t>
      </w:r>
      <w:r w:rsidR="008D503C">
        <w:rPr>
          <w:rFonts w:hint="eastAsia"/>
        </w:rPr>
        <w:t>；</w:t>
      </w:r>
    </w:p>
    <w:p w:rsidR="008D503C" w:rsidRDefault="008D503C" w:rsidP="009243B6">
      <w:pPr>
        <w:spacing w:line="300" w:lineRule="exact"/>
      </w:pPr>
      <w:r>
        <w:rPr>
          <w:rFonts w:hint="eastAsia"/>
        </w:rPr>
        <w:t>3.</w:t>
      </w:r>
      <w:r>
        <w:rPr>
          <w:rFonts w:hint="eastAsia"/>
        </w:rPr>
        <w:t>危险化学品安全风险单位在不同地点存放危险化学品的要分地址填写；</w:t>
      </w:r>
    </w:p>
    <w:p w:rsidR="008D503C" w:rsidRDefault="008D503C" w:rsidP="009243B6">
      <w:pPr>
        <w:spacing w:line="300" w:lineRule="exact"/>
      </w:pPr>
      <w:r>
        <w:rPr>
          <w:rFonts w:hint="eastAsia"/>
        </w:rPr>
        <w:t>4.</w:t>
      </w:r>
      <w:r>
        <w:rPr>
          <w:rFonts w:hint="eastAsia"/>
        </w:rPr>
        <w:t>危险化学品存储品种及存储量，按照“品名（最大存储量）”的形式填写，最大存储量根据实际填写；</w:t>
      </w:r>
    </w:p>
    <w:p w:rsidR="008D503C" w:rsidRDefault="008D503C" w:rsidP="009243B6">
      <w:pPr>
        <w:spacing w:line="300" w:lineRule="exact"/>
      </w:pPr>
      <w:r>
        <w:rPr>
          <w:rFonts w:hint="eastAsia"/>
        </w:rPr>
        <w:t>5</w:t>
      </w:r>
      <w:r>
        <w:rPr>
          <w:rFonts w:hint="eastAsia"/>
        </w:rPr>
        <w:t>存储量构成重大危险源的，填写重大危险源级别，未构成重大危险源的填写“否”；认定标准按照国家标准《危险化学品重大危险源识别》（</w:t>
      </w:r>
      <w:r>
        <w:rPr>
          <w:rFonts w:hint="eastAsia"/>
        </w:rPr>
        <w:t>GB18218</w:t>
      </w:r>
      <w:r>
        <w:rPr>
          <w:rFonts w:hint="eastAsia"/>
        </w:rPr>
        <w:t>）认定；</w:t>
      </w:r>
    </w:p>
    <w:p w:rsidR="009243B6" w:rsidRPr="009243B6" w:rsidRDefault="008D503C" w:rsidP="00F20883">
      <w:pPr>
        <w:spacing w:line="300" w:lineRule="exact"/>
      </w:pPr>
      <w:r>
        <w:rPr>
          <w:rFonts w:hint="eastAsia"/>
        </w:rPr>
        <w:t>危险化学品用途根据实际按照“经营”、“原料”、“燃</w:t>
      </w:r>
      <w:r w:rsidR="00F20883">
        <w:rPr>
          <w:rFonts w:hint="eastAsia"/>
        </w:rPr>
        <w:t>料”、“分析”、“实验”、“制冷剂”等十几用途填写。</w:t>
      </w:r>
    </w:p>
    <w:sectPr w:rsidR="009243B6" w:rsidRPr="009243B6" w:rsidSect="009243B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89D" w:rsidRDefault="0004689D" w:rsidP="00596ED7">
      <w:r>
        <w:separator/>
      </w:r>
    </w:p>
  </w:endnote>
  <w:endnote w:type="continuationSeparator" w:id="0">
    <w:p w:rsidR="0004689D" w:rsidRDefault="0004689D" w:rsidP="0059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89D" w:rsidRDefault="0004689D" w:rsidP="00596ED7">
      <w:r>
        <w:separator/>
      </w:r>
    </w:p>
  </w:footnote>
  <w:footnote w:type="continuationSeparator" w:id="0">
    <w:p w:rsidR="0004689D" w:rsidRDefault="0004689D" w:rsidP="00596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F11C7"/>
    <w:multiLevelType w:val="hybridMultilevel"/>
    <w:tmpl w:val="61765AEE"/>
    <w:lvl w:ilvl="0" w:tplc="D9228F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237"/>
    <w:rsid w:val="0004689D"/>
    <w:rsid w:val="000B08CB"/>
    <w:rsid w:val="00112D45"/>
    <w:rsid w:val="00596ED7"/>
    <w:rsid w:val="006A41D9"/>
    <w:rsid w:val="008C7237"/>
    <w:rsid w:val="008D503C"/>
    <w:rsid w:val="009243B6"/>
    <w:rsid w:val="00B53A35"/>
    <w:rsid w:val="00E756BB"/>
    <w:rsid w:val="00F20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64BAB7-DA6C-410E-B103-0DFAD772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4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243B6"/>
    <w:pPr>
      <w:ind w:firstLineChars="200" w:firstLine="420"/>
    </w:pPr>
  </w:style>
  <w:style w:type="paragraph" w:styleId="a5">
    <w:name w:val="header"/>
    <w:basedOn w:val="a"/>
    <w:link w:val="Char"/>
    <w:uiPriority w:val="99"/>
    <w:unhideWhenUsed/>
    <w:rsid w:val="00596E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96ED7"/>
    <w:rPr>
      <w:sz w:val="18"/>
      <w:szCs w:val="18"/>
    </w:rPr>
  </w:style>
  <w:style w:type="paragraph" w:styleId="a6">
    <w:name w:val="footer"/>
    <w:basedOn w:val="a"/>
    <w:link w:val="Char0"/>
    <w:uiPriority w:val="99"/>
    <w:unhideWhenUsed/>
    <w:rsid w:val="00596ED7"/>
    <w:pPr>
      <w:tabs>
        <w:tab w:val="center" w:pos="4153"/>
        <w:tab w:val="right" w:pos="8306"/>
      </w:tabs>
      <w:snapToGrid w:val="0"/>
      <w:jc w:val="left"/>
    </w:pPr>
    <w:rPr>
      <w:sz w:val="18"/>
      <w:szCs w:val="18"/>
    </w:rPr>
  </w:style>
  <w:style w:type="character" w:customStyle="1" w:styleId="Char0">
    <w:name w:val="页脚 Char"/>
    <w:basedOn w:val="a0"/>
    <w:link w:val="a6"/>
    <w:uiPriority w:val="99"/>
    <w:rsid w:val="00596E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实验室与设备管理处综合科</dc:creator>
  <cp:keywords/>
  <dc:description/>
  <cp:lastModifiedBy>杨绍荣</cp:lastModifiedBy>
  <cp:revision>11</cp:revision>
  <dcterms:created xsi:type="dcterms:W3CDTF">2018-05-23T06:19:00Z</dcterms:created>
  <dcterms:modified xsi:type="dcterms:W3CDTF">2018-05-24T01:10:00Z</dcterms:modified>
</cp:coreProperties>
</file>